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ascii="宋体" w:hAnsi="宋体" w:cs="宋体"/>
          <w:sz w:val="52"/>
          <w:szCs w:val="52"/>
          <w:lang w:val="en-US" w:eastAsia="zh-CN"/>
        </w:rPr>
        <w:t>2026年三亚市海棠区住房和城乡建设局部门</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rPr>
        <w:t>三亚市海棠区住房和城乡建设局概况</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lang w:eastAsia="zh-CN"/>
        </w:rPr>
        <w:t>部门预算单位构成</w:t>
      </w:r>
    </w:p>
    <w:p>
      <w:pPr>
        <w:pStyle w:val="4"/>
        <w:numPr>
          <w:ilvl w:val="0"/>
          <w:numId w:val="1"/>
        </w:numPr>
        <w:ind w:firstLineChars="0"/>
        <w:rPr>
          <w:rFonts w:ascii="黑体" w:hAnsi="黑体" w:eastAsia="黑体"/>
          <w:sz w:val="32"/>
          <w:szCs w:val="32"/>
        </w:rPr>
      </w:pPr>
      <w:r>
        <w:rPr>
          <w:rFonts w:hint="eastAsia" w:ascii="黑体" w:hAnsi="黑体" w:eastAsia="黑体"/>
          <w:sz w:val="32"/>
          <w:szCs w:val="32"/>
        </w:rPr>
        <w:t xml:space="preserve"> 三亚市海棠区住房和城乡建设局</w:t>
      </w:r>
      <w:r>
        <w:rPr>
          <w:rFonts w:hint="eastAsia" w:ascii="黑体" w:hAnsi="黑体" w:eastAsia="黑体" w:cs="黑体"/>
          <w:sz w:val="32"/>
          <w:szCs w:val="32"/>
          <w:lang w:val="en-US" w:eastAsia="zh-CN"/>
        </w:rPr>
        <w:t>2026年部门</w:t>
      </w:r>
      <w:r>
        <w:rPr>
          <w:rFonts w:hint="eastAsia" w:ascii="黑体" w:hAnsi="黑体" w:eastAsia="黑体"/>
          <w:sz w:val="32"/>
          <w:szCs w:val="32"/>
        </w:rPr>
        <w:t>预算表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收支总表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收入总表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支出总表</w:t>
      </w:r>
    </w:p>
    <w:p>
      <w:pPr>
        <w:pStyle w:val="4"/>
        <w:numPr>
          <w:ilvl w:val="0"/>
          <w:numId w:val="0"/>
        </w:numPr>
        <w:ind w:leftChars="0"/>
        <w:jc w:val="left"/>
        <w:rPr>
          <w:rFonts w:ascii="黑体" w:hAnsi="黑体" w:eastAsia="黑体"/>
          <w:sz w:val="32"/>
          <w:szCs w:val="32"/>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项目支出绩效信息表</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三亚市海棠区住房和城乡建设局</w:t>
      </w:r>
      <w:r>
        <w:rPr>
          <w:rFonts w:hint="eastAsia" w:ascii="黑体" w:hAnsi="黑体" w:eastAsia="黑体" w:cs="黑体"/>
          <w:sz w:val="32"/>
          <w:szCs w:val="32"/>
          <w:lang w:val="en-US" w:eastAsia="zh-CN"/>
        </w:rPr>
        <w:t xml:space="preserve">2026年部门 </w:t>
      </w:r>
      <w:r>
        <w:rPr>
          <w:rFonts w:hint="eastAsia" w:ascii="黑体" w:hAnsi="黑体" w:eastAsia="黑体"/>
          <w:sz w:val="32"/>
          <w:szCs w:val="32"/>
        </w:rPr>
        <w:t>预算情况说明</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4"/>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4"/>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三亚市海棠区住房和城乡建设局概况</w:t>
      </w:r>
    </w:p>
    <w:p>
      <w:pPr>
        <w:jc w:val="left"/>
        <w:rPr>
          <w:rFonts w:ascii="仿宋_GB2312" w:hAnsi="仿宋_GB2312" w:eastAsia="仿宋_GB2312" w:cs="仿宋_GB2312"/>
          <w:sz w:val="32"/>
          <w:szCs w:val="32"/>
        </w:rPr>
      </w:pPr>
    </w:p>
    <w:p>
      <w:pPr>
        <w:pStyle w:val="4"/>
        <w:keepNext w:val="0"/>
        <w:keepLines w:val="0"/>
        <w:pageBreakBefore w:val="0"/>
        <w:widowControl w:val="0"/>
        <w:numPr>
          <w:ilvl w:val="0"/>
          <w:numId w:val="5"/>
        </w:numPr>
        <w:kinsoku/>
        <w:wordWrap/>
        <w:overflowPunct/>
        <w:topLinePunct w:val="0"/>
        <w:autoSpaceDE/>
        <w:autoSpaceDN/>
        <w:bidi w:val="0"/>
        <w:adjustRightInd/>
        <w:snapToGrid/>
        <w:ind w:leftChars="0" w:firstLine="640" w:firstLineChars="200"/>
        <w:jc w:val="left"/>
        <w:textAlignment w:val="auto"/>
        <w:rPr>
          <w:rFonts w:hint="eastAsia" w:ascii="黑体" w:hAnsi="黑体" w:eastAsia="黑体" w:cs="仿宋_GB2312"/>
          <w:sz w:val="32"/>
          <w:szCs w:val="32"/>
        </w:rPr>
      </w:pPr>
      <w:r>
        <w:rPr>
          <w:rFonts w:hint="eastAsia" w:ascii="黑体" w:hAnsi="黑体" w:eastAsia="黑体" w:cs="仿宋_GB2312"/>
          <w:sz w:val="32"/>
          <w:szCs w:val="32"/>
        </w:rPr>
        <w:t>主要职能</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三亚市海棠区住房和城乡建设局是区政府工作部门。其主要职责：</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（1）贯彻落实党和国家、省市有关住房和城乡建设、法律法规，执行市委市政府、区委区政府的决策部署和中国（海南）自由贸易试验区、中国特色自由贸易港的政策措施。</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（2）研究拟订并组织实施全区住房和城乡建设、研究推进全区住房和城乡建设、研究提出中国（海南）自由贸易试验区、中国特色自由贸易港关于住房和城乡建设。</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（3）按职责权限做好住房制度改革和保障性住房的规划建设、实物资产分配和管理等工作。</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4）负责调查统计全区住房情况；负责全区棚户区改造和国有土地上房屋征收、补偿和安置工作，负责全区棚户区改造和国有土地上的违法征收与补偿行为的处理，对拆迁补偿安置资金进行监管；负责全区集体土地上的私房建设施工备案、竣工验收，收存有关资料。</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（5）负责对全区物业管理工作活动进行监管；协助物业监督管理专项维修资金；负责全区白蚁防治预防工作。</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（6）负责全区农村建设信息统计和危险房屋的安全鉴定工作；负责全区农村住房安全和危旧房改造工作；统筹全区乡村民宿建设管理工作。</w:t>
      </w:r>
    </w:p>
    <w:p>
      <w:pPr>
        <w:ind w:firstLine="640" w:firstLineChars="200"/>
        <w:jc w:val="left"/>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（7）指导落实重要经济目标的防护工作；组织实施全区人防、民防指挥通信、指挥信息、人防警报报知等系统建设；负责全区人防工程安全使用的综合管理；负责监管已建人防工程平时开发利用、维护安全。</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（8）负责监管全区防空地下室和城市地下防护空间建设；负责监管人民防空工程建设和开发利用地下空间兼顾人民防空防护要求。</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（9）负责</w:t>
      </w:r>
      <w:bookmarkStart w:id="0" w:name="_GoBack"/>
      <w:bookmarkEnd w:id="0"/>
      <w:r>
        <w:rPr>
          <w:rFonts w:hint="eastAsia" w:ascii="仿宋_GB2312" w:hAnsi="黑体" w:eastAsia="仿宋_GB2312"/>
          <w:sz w:val="32"/>
          <w:szCs w:val="32"/>
          <w:lang w:val="en-US" w:eastAsia="zh-CN"/>
        </w:rPr>
        <w:t>市政工程、公共建筑项目的建设及维护管理；负责区管管道路（除主、次干道之外）及相应道路路灯、排污、排水等市政基础设施及市政设施的建设、统筹协调工作；负责全区燃气设施的管理。</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10）负责监管房屋和市政工程质量安全；指导房屋建筑及其附属设施和城市市政设施抗震设防工作。负责全区危险房屋的鉴定、安全生产、验收及资料归档管理；按职责权限全区在建建筑工地施工现场的安全检查监督和事故处理及综合整治、计划生育、文明施工等管理事项。依法对全区建筑行业监督管理；指导建筑市场诚信体系建设。</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（11）负责全区住房和城乡建设、人民防空和民防,负责开展住房和城乡建设、人民防空和民防。</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（12）组织开展全区住房和城乡建设、人民防空和民防等领域的宣传教育培训工作。</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（13）按职责权限负责全区住房和城乡建设、人民防空和民防、负责相关领域行政诉讼的应诉工作；调节处理有关住房和城乡建设、来信来访。</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（14）负责本区从事生活垃圾经营性清扫、收集、运输、处理服务审批；负责本区城市建筑垃圾处置核准；负责本区渣土淤泥清运审批和处理。</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15）负责调控和管理本区园林绿化、环境卫生工作；组织实施本区园林绿化、环境卫生的监督检查和宣传工作；组织本区园林绿化、环境卫生行业有关的普查、资源调查评估、统计申报工作；培育、发展和维护本区园林绿化、环境卫生作业市场。</w:t>
      </w:r>
    </w:p>
    <w:p>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（16）负责建设和管理本区公共绿地、街道绿化工作。</w:t>
      </w:r>
    </w:p>
    <w:p>
      <w:pPr>
        <w:ind w:firstLine="640" w:firstLineChars="200"/>
        <w:jc w:val="left"/>
        <w:rPr>
          <w:rFonts w:hint="eastAsia" w:ascii="黑体" w:hAnsi="黑体" w:eastAsia="黑体" w:cs="仿宋_GB2312"/>
          <w:sz w:val="32"/>
          <w:szCs w:val="32"/>
        </w:rPr>
      </w:pPr>
      <w:r>
        <w:rPr>
          <w:rFonts w:hint="eastAsia" w:ascii="仿宋_GB2312" w:hAnsi="黑体" w:eastAsia="仿宋_GB2312"/>
          <w:sz w:val="32"/>
          <w:szCs w:val="32"/>
          <w:lang w:val="en-US" w:eastAsia="zh-CN"/>
        </w:rPr>
        <w:t>（17）完成区委、区政府和上级部门交办的其他工作任务。</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黑体" w:hAnsi="黑体" w:eastAsia="黑体" w:cs="仿宋_GB2312"/>
          <w:sz w:val="32"/>
          <w:szCs w:val="32"/>
          <w:lang w:eastAsia="zh-CN"/>
        </w:rPr>
      </w:pPr>
      <w:r>
        <w:rPr>
          <w:rFonts w:hint="eastAsia" w:ascii="黑体" w:hAnsi="黑体" w:eastAsia="黑体" w:cs="仿宋_GB2312"/>
          <w:sz w:val="32"/>
          <w:szCs w:val="32"/>
          <w:lang w:eastAsia="zh-CN"/>
        </w:rPr>
        <w:t>二、部门预算单位构成</w:t>
      </w:r>
    </w:p>
    <w:p>
      <w:pPr>
        <w:ind w:firstLine="640" w:firstLineChars="200"/>
        <w:jc w:val="left"/>
        <w:rPr>
          <w:rFonts w:hint="eastAsia" w:ascii="仿宋_GB2312" w:hAnsi="黑体" w:eastAsia="仿宋_GB2312" w:cs="仿宋_GB2312"/>
          <w:color w:val="000000" w:themeColor="text1"/>
          <w:sz w:val="32"/>
          <w:szCs w:val="32"/>
          <w:shd w:val="clear" w:color="auto" w:fill="auto"/>
          <w:lang w:eastAsia="zh-CN"/>
          <w14:textFill>
            <w14:solidFill>
              <w14:schemeClr w14:val="tx1"/>
            </w14:solidFill>
          </w14:textFill>
        </w:rPr>
      </w:pPr>
      <w:r>
        <w:rPr>
          <w:rFonts w:hint="eastAsia" w:ascii="仿宋_GB2312" w:hAnsi="黑体" w:eastAsia="仿宋_GB2312" w:cs="仿宋_GB2312"/>
          <w:sz w:val="32"/>
          <w:szCs w:val="32"/>
        </w:rPr>
        <w:t>纳入</w:t>
      </w:r>
      <w:r>
        <w:rPr>
          <w:rFonts w:hint="eastAsia" w:ascii="仿宋_GB2312" w:hAnsi="黑体" w:eastAsia="仿宋_GB2312" w:cs="仿宋_GB2312"/>
          <w:sz w:val="32"/>
          <w:szCs w:val="32"/>
          <w:lang w:eastAsia="zh-CN"/>
        </w:rPr>
        <w:t>三亚市海棠区住房和城乡建设局</w:t>
      </w:r>
      <w:r>
        <w:rPr>
          <w:rFonts w:hint="eastAsia" w:ascii="仿宋_GB2312" w:hAnsi="黑体" w:eastAsia="仿宋_GB2312" w:cs="仿宋_GB2312"/>
          <w:sz w:val="32"/>
          <w:szCs w:val="32"/>
        </w:rPr>
        <w:t>部门</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年部门预算编制范围的二级预算单位</w:t>
      </w:r>
      <w:r>
        <w:rPr>
          <w:rFonts w:hint="eastAsia" w:ascii="仿宋_GB2312" w:hAnsi="黑体" w:eastAsia="仿宋_GB2312" w:cs="仿宋_GB2312"/>
          <w:color w:val="000000" w:themeColor="text1"/>
          <w:sz w:val="32"/>
          <w:szCs w:val="32"/>
          <w:shd w:val="clear" w:color="auto" w:fill="auto"/>
          <w:lang w:eastAsia="zh-CN"/>
          <w14:textFill>
            <w14:solidFill>
              <w14:schemeClr w14:val="tx1"/>
            </w14:solidFill>
          </w14:textFill>
        </w:rPr>
        <w:t>：</w:t>
      </w:r>
    </w:p>
    <w:p>
      <w:pPr>
        <w:ind w:firstLine="640" w:firstLineChars="200"/>
        <w:rPr>
          <w:rFonts w:hint="eastAsia" w:ascii="黑体" w:hAnsi="黑体" w:eastAsia="黑体" w:cs="仿宋_GB2312"/>
          <w:sz w:val="32"/>
          <w:szCs w:val="32"/>
          <w:lang w:eastAsia="zh-CN"/>
        </w:rPr>
      </w:pPr>
      <w:r>
        <w:rPr>
          <w:rFonts w:hint="eastAsia" w:ascii="仿宋_GB2312" w:hAnsi="黑体" w:eastAsia="仿宋_GB2312" w:cs="仿宋_GB2312"/>
          <w:sz w:val="32"/>
          <w:szCs w:val="32"/>
          <w:lang w:eastAsia="zh-CN"/>
        </w:rPr>
        <w:t>三亚市海棠区住房和城乡建设局本级</w:t>
      </w:r>
      <w:r>
        <w:rPr>
          <w:rFonts w:hint="eastAsia" w:ascii="仿宋_GB2312" w:hAnsi="黑体" w:eastAsia="仿宋_GB2312" w:cs="仿宋_GB2312"/>
          <w:color w:val="auto"/>
          <w:sz w:val="32"/>
          <w:szCs w:val="32"/>
          <w:lang w:val="en-US" w:eastAsia="zh-CN"/>
        </w:rPr>
        <w:t>,无二级预算单位，无内设机构。</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三亚市海棠区住房和城乡建设局2</w:t>
      </w:r>
      <w:r>
        <w:rPr>
          <w:rFonts w:hint="eastAsia" w:ascii="黑体" w:hAnsi="黑体" w:eastAsia="黑体" w:cs="黑体"/>
          <w:sz w:val="32"/>
          <w:szCs w:val="32"/>
          <w:lang w:val="en-US" w:eastAsia="zh-CN"/>
        </w:rPr>
        <w:t>026年部门</w:t>
      </w:r>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部门</w:t>
      </w:r>
      <w:r>
        <w:rPr>
          <w:rFonts w:hint="eastAsia" w:ascii="仿宋_GB2312" w:hAnsi="黑体" w:eastAsia="仿宋_GB2312"/>
          <w:b/>
          <w:sz w:val="32"/>
          <w:szCs w:val="32"/>
        </w:rPr>
        <w:t>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val="en-US" w:eastAsia="zh-CN"/>
        </w:rPr>
        <w:t>三亚市海棠区住房和城乡建设局</w:t>
      </w:r>
      <w:r>
        <w:rPr>
          <w:rFonts w:hint="eastAsia" w:ascii="黑体" w:hAnsi="黑体" w:eastAsia="黑体" w:cs="黑体"/>
          <w:sz w:val="32"/>
          <w:szCs w:val="32"/>
          <w:lang w:val="en-US" w:eastAsia="zh-CN"/>
        </w:rPr>
        <w:t>2026年</w:t>
      </w:r>
      <w:r>
        <w:rPr>
          <w:rFonts w:hint="eastAsia" w:ascii="仿宋_GB2312" w:hAnsi="黑体" w:eastAsia="仿宋_GB2312"/>
          <w:b/>
          <w:sz w:val="32"/>
          <w:szCs w:val="32"/>
          <w:lang w:eastAsia="zh-CN"/>
        </w:rPr>
        <w:t>部门</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val="en-US" w:eastAsia="zh-CN"/>
        </w:rPr>
        <w:t>三亚市海棠区住房和城乡建设局2026年</w:t>
      </w:r>
      <w:r>
        <w:rPr>
          <w:rFonts w:hint="eastAsia" w:ascii="黑体" w:hAnsi="黑体" w:eastAsia="黑体" w:cs="黑体"/>
          <w:sz w:val="32"/>
          <w:szCs w:val="32"/>
        </w:rPr>
        <w:t>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val="en-US" w:eastAsia="zh-CN"/>
        </w:rPr>
        <w:t>三亚市海棠区住房和城乡建设局</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财政拨款收支总预算</w:t>
      </w:r>
      <w:r>
        <w:rPr>
          <w:rFonts w:hint="eastAsia" w:ascii="仿宋_GB2312" w:hAnsi="黑体" w:eastAsia="仿宋_GB2312" w:cs="仿宋_GB2312"/>
          <w:sz w:val="32"/>
          <w:szCs w:val="32"/>
        </w:rPr>
        <w:t>21,923.47</w:t>
      </w:r>
      <w:r>
        <w:rPr>
          <w:rFonts w:hint="eastAsia" w:ascii="仿宋_GB2312" w:hAnsi="黑体" w:eastAsia="仿宋_GB2312"/>
          <w:sz w:val="32"/>
          <w:szCs w:val="32"/>
        </w:rPr>
        <w:t>万元。其中，收入总计21,923.47万元，包括一般公共预算本年收入21,117.15万元、上年结转498.87万元，政府性基金预算本年收入</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万元、上年结转307.45万元；支出总计21,923.47万元，包括社会保障和就业支出</w:t>
      </w:r>
      <w:r>
        <w:rPr>
          <w:rFonts w:hint="eastAsia" w:ascii="仿宋_GB2312" w:hAnsi="黑体" w:eastAsia="仿宋_GB2312"/>
          <w:sz w:val="32"/>
          <w:szCs w:val="32"/>
          <w:lang w:val="en-US" w:eastAsia="zh-CN"/>
        </w:rPr>
        <w:t>27.49万元、卫生健康支出21.49万元、城乡社区支出21,636.41万元、农林水支出123.24万元、住房保障支出15.66万元、灾害防治及应急管理支出99.17万元</w:t>
      </w:r>
      <w:r>
        <w:rPr>
          <w:rFonts w:hint="eastAsia" w:ascii="仿宋_GB2312" w:hAnsi="黑体" w:eastAsia="仿宋_GB2312"/>
          <w:sz w:val="32"/>
          <w:szCs w:val="32"/>
        </w:rPr>
        <w:t>，结转下年</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val="en-US" w:eastAsia="zh-CN"/>
        </w:rPr>
        <w:t>三亚市海棠区住房和城乡建设局2026年</w:t>
      </w:r>
      <w:r>
        <w:rPr>
          <w:rFonts w:hint="eastAsia" w:ascii="黑体" w:hAnsi="黑体" w:eastAsia="黑体" w:cs="黑体"/>
          <w:sz w:val="32"/>
          <w:szCs w:val="32"/>
        </w:rPr>
        <w:t>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三亚市海棠区住房和城乡建设局2026年</w:t>
      </w:r>
      <w:r>
        <w:rPr>
          <w:rFonts w:hint="eastAsia" w:ascii="仿宋_GB2312" w:hAnsi="黑体" w:eastAsia="仿宋_GB2312"/>
          <w:sz w:val="32"/>
          <w:szCs w:val="32"/>
        </w:rPr>
        <w:t>一般公共预算当年拨款21,616.02万元，比上年预算数</w:t>
      </w:r>
      <w:r>
        <w:rPr>
          <w:rFonts w:hint="eastAsia" w:ascii="仿宋_GB2312" w:hAnsi="黑体" w:eastAsia="仿宋_GB2312" w:cs="仿宋_GB2312"/>
          <w:sz w:val="32"/>
          <w:szCs w:val="32"/>
        </w:rPr>
        <w:t>增加6190.85</w:t>
      </w:r>
      <w:r>
        <w:rPr>
          <w:rFonts w:hint="eastAsia" w:ascii="仿宋_GB2312" w:hAnsi="黑体" w:eastAsia="仿宋_GB2312"/>
          <w:sz w:val="32"/>
          <w:szCs w:val="32"/>
        </w:rPr>
        <w:t>万元，主要是城乡社区环境卫生</w:t>
      </w:r>
      <w:r>
        <w:rPr>
          <w:rFonts w:hint="eastAsia" w:ascii="仿宋_GB2312" w:hAnsi="黑体" w:eastAsia="仿宋_GB2312"/>
          <w:sz w:val="32"/>
          <w:szCs w:val="32"/>
          <w:lang w:eastAsia="zh-CN"/>
        </w:rPr>
        <w:t>增加。</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sz w:val="32"/>
          <w:szCs w:val="32"/>
        </w:rPr>
        <w:t>社会保障和就业</w:t>
      </w:r>
      <w:r>
        <w:rPr>
          <w:rFonts w:hint="eastAsia" w:ascii="仿宋_GB2312" w:hAnsi="黑体" w:eastAsia="仿宋_GB2312"/>
          <w:sz w:val="32"/>
          <w:szCs w:val="32"/>
          <w:lang w:val="en-US" w:eastAsia="zh-CN"/>
        </w:rPr>
        <w:t>(类）</w:t>
      </w:r>
      <w:r>
        <w:rPr>
          <w:rFonts w:hint="eastAsia" w:ascii="仿宋_GB2312" w:hAnsi="黑体" w:eastAsia="仿宋_GB2312"/>
          <w:sz w:val="32"/>
          <w:szCs w:val="32"/>
        </w:rPr>
        <w:t>支出</w:t>
      </w:r>
      <w:r>
        <w:rPr>
          <w:rFonts w:hint="eastAsia" w:ascii="仿宋_GB2312" w:hAnsi="黑体" w:eastAsia="仿宋_GB2312"/>
          <w:sz w:val="32"/>
          <w:szCs w:val="32"/>
          <w:lang w:val="en-US" w:eastAsia="zh-CN"/>
        </w:rPr>
        <w:t>27.49万元，占0.13%；卫生健康（类）支出21.49万元，占0.10%；城乡社区（类）支出21,328.96万元，占98.67%；农林水（类）支出123.24万元，占0.57%；住房保障（类）支出15.66万元，占0.07%；灾害防治及应急管理（类）支出99.17万元，占0.46%</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1.社会保障和就业支出（类）行政事业单位养老支出（款）机关事业单位基本养老保险缴费支出（项）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年预算数为18.33万元，比上年预算数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1.51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工资待遇调高及</w:t>
      </w:r>
      <w:r>
        <w:rPr>
          <w:rFonts w:hint="eastAsia" w:ascii="仿宋_GB2312" w:hAnsi="黑体" w:eastAsia="仿宋_GB2312"/>
          <w:color w:val="000000" w:themeColor="text1"/>
          <w:sz w:val="32"/>
          <w:szCs w:val="32"/>
          <w:lang w:eastAsia="zh-CN"/>
          <w14:textFill>
            <w14:solidFill>
              <w14:schemeClr w14:val="tx1"/>
            </w14:solidFill>
          </w14:textFill>
        </w:rPr>
        <w:t>社保基数调高</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社会保障和就业支出（类）行政事业单位养老支出（款）机关事业单位职业年金缴费支出（项）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9.16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增加0.75</w:t>
      </w:r>
      <w:r>
        <w:rPr>
          <w:rFonts w:hint="eastAsia" w:ascii="仿宋_GB2312" w:hAnsi="黑体" w:eastAsia="仿宋_GB2312"/>
          <w:sz w:val="32"/>
          <w:szCs w:val="32"/>
        </w:rPr>
        <w:t>万元，主要是职业年金缴费支出</w:t>
      </w:r>
      <w:r>
        <w:rPr>
          <w:rFonts w:hint="eastAsia" w:ascii="仿宋_GB2312" w:hAnsi="黑体" w:eastAsia="仿宋_GB2312"/>
          <w:sz w:val="32"/>
          <w:szCs w:val="32"/>
          <w:lang w:eastAsia="zh-CN"/>
        </w:rPr>
        <w:t>增加。</w:t>
      </w:r>
    </w:p>
    <w:p>
      <w:pPr>
        <w:ind w:firstLine="640" w:firstLineChars="200"/>
        <w:rPr>
          <w:rFonts w:hint="eastAsia"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 xml:space="preserve"> 卫生健康支出（类）行政事业单位医疗（款）机关行政单位医疗（项）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年预算数为6.44万元，比上年预算数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val="en-US" w:eastAsia="zh-CN"/>
        </w:rPr>
        <w:t>59</w:t>
      </w:r>
      <w:r>
        <w:rPr>
          <w:rFonts w:hint="eastAsia" w:ascii="仿宋_GB2312" w:hAnsi="黑体" w:eastAsia="仿宋_GB2312"/>
          <w:sz w:val="32"/>
          <w:szCs w:val="32"/>
        </w:rPr>
        <w:t>万元，主要是</w:t>
      </w:r>
      <w:r>
        <w:rPr>
          <w:rFonts w:hint="eastAsia" w:ascii="仿宋_GB2312" w:hAnsi="黑体" w:eastAsia="仿宋_GB2312"/>
          <w:color w:val="000000" w:themeColor="text1"/>
          <w:sz w:val="32"/>
          <w:szCs w:val="32"/>
          <w:lang w:val="en-US" w:eastAsia="zh-CN"/>
          <w14:textFill>
            <w14:solidFill>
              <w14:schemeClr w14:val="tx1"/>
            </w14:solidFill>
          </w14:textFill>
        </w:rPr>
        <w:t>公职人员社保基数变动。</w:t>
      </w:r>
    </w:p>
    <w:p>
      <w:pPr>
        <w:ind w:firstLine="640" w:firstLineChars="200"/>
        <w:rPr>
          <w:rFonts w:hint="eastAsia"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卫生健康支出（类）行政事业单位医疗（款）公务员医疗补助（项）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年预算数为15.05万元，比上年预算数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rPr>
        <w:t>0.99</w:t>
      </w:r>
      <w:r>
        <w:rPr>
          <w:rFonts w:hint="eastAsia" w:ascii="仿宋_GB2312" w:hAnsi="黑体" w:eastAsia="仿宋_GB2312"/>
          <w:sz w:val="32"/>
          <w:szCs w:val="32"/>
        </w:rPr>
        <w:t>万元，主要是</w:t>
      </w:r>
      <w:r>
        <w:rPr>
          <w:rFonts w:hint="eastAsia" w:ascii="仿宋_GB2312" w:hAnsi="黑体" w:eastAsia="仿宋_GB2312"/>
          <w:color w:val="000000" w:themeColor="text1"/>
          <w:sz w:val="32"/>
          <w:szCs w:val="32"/>
          <w:lang w:val="en-US" w:eastAsia="zh-CN"/>
          <w14:textFill>
            <w14:solidFill>
              <w14:schemeClr w14:val="tx1"/>
            </w14:solidFill>
          </w14:textFill>
        </w:rPr>
        <w:t>公职人员社保基数变动。</w:t>
      </w:r>
    </w:p>
    <w:p>
      <w:pPr>
        <w:ind w:firstLine="640" w:firstLineChars="200"/>
        <w:rPr>
          <w:rFonts w:hint="eastAsia"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城乡社区支出（类）城乡社区管理事务（款）行政运行（项）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年预算数为151.19万元，比上年预算数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rPr>
        <w:t>13.21</w:t>
      </w:r>
      <w:r>
        <w:rPr>
          <w:rFonts w:hint="eastAsia" w:ascii="仿宋_GB2312" w:hAnsi="黑体" w:eastAsia="仿宋_GB2312"/>
          <w:sz w:val="32"/>
          <w:szCs w:val="32"/>
        </w:rPr>
        <w:t>万元，主要是</w:t>
      </w:r>
      <w:r>
        <w:rPr>
          <w:rFonts w:hint="eastAsia" w:ascii="仿宋_GB2312" w:hAnsi="黑体" w:eastAsia="仿宋_GB2312"/>
          <w:color w:val="000000" w:themeColor="text1"/>
          <w:sz w:val="32"/>
          <w:szCs w:val="32"/>
          <w:lang w:val="en-US" w:eastAsia="zh-CN"/>
          <w14:textFill>
            <w14:solidFill>
              <w14:schemeClr w14:val="tx1"/>
            </w14:solidFill>
          </w14:textFill>
        </w:rPr>
        <w:t>基本工资等费用增加。</w:t>
      </w:r>
    </w:p>
    <w:p>
      <w:pPr>
        <w:ind w:firstLine="640" w:firstLineChars="200"/>
        <w:rPr>
          <w:rFonts w:hint="eastAsia"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城乡社区支出（类）城乡社区管理事务（款）一般行政管理事务（项）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年预算数为3,512.57万元，比上年预算数</w:t>
      </w:r>
      <w:r>
        <w:rPr>
          <w:rFonts w:hint="eastAsia" w:ascii="仿宋_GB2312" w:hAnsi="黑体" w:eastAsia="仿宋_GB2312"/>
          <w:sz w:val="32"/>
          <w:szCs w:val="32"/>
          <w:lang w:eastAsia="zh-CN"/>
        </w:rPr>
        <w:t>增加408.57</w:t>
      </w:r>
      <w:r>
        <w:rPr>
          <w:rFonts w:hint="eastAsia" w:ascii="仿宋_GB2312" w:hAnsi="黑体" w:eastAsia="仿宋_GB2312"/>
          <w:sz w:val="32"/>
          <w:szCs w:val="32"/>
        </w:rPr>
        <w:t>万元，主要是</w:t>
      </w:r>
      <w:r>
        <w:rPr>
          <w:rFonts w:hint="eastAsia" w:ascii="仿宋_GB2312" w:hAnsi="黑体" w:eastAsia="仿宋_GB2312"/>
          <w:color w:val="000000" w:themeColor="text1"/>
          <w:sz w:val="32"/>
          <w:szCs w:val="32"/>
          <w:lang w:val="en-US" w:eastAsia="zh-CN"/>
          <w14:textFill>
            <w14:solidFill>
              <w14:schemeClr w14:val="tx1"/>
            </w14:solidFill>
          </w14:textFill>
        </w:rPr>
        <w:t>监督管理等经费增加。</w:t>
      </w:r>
    </w:p>
    <w:p>
      <w:pPr>
        <w:ind w:firstLine="640" w:firstLineChars="200"/>
        <w:rPr>
          <w:rFonts w:hint="eastAsia"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sz w:val="32"/>
          <w:szCs w:val="32"/>
          <w:lang w:val="en-US" w:eastAsia="zh-CN"/>
        </w:rPr>
        <w:t>7.</w:t>
      </w:r>
      <w:r>
        <w:rPr>
          <w:rFonts w:hint="eastAsia" w:ascii="仿宋_GB2312" w:hAnsi="黑体" w:eastAsia="仿宋_GB2312" w:cs="仿宋_GB2312"/>
          <w:sz w:val="32"/>
          <w:szCs w:val="32"/>
        </w:rPr>
        <w:t>城乡社区支出（类）城乡社区公共设施（款）小城镇基础设施建设（项）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年预算数为5,808.54万元，比上年预算数</w:t>
      </w:r>
      <w:r>
        <w:rPr>
          <w:rFonts w:hint="eastAsia" w:ascii="仿宋_GB2312" w:hAnsi="黑体" w:eastAsia="仿宋_GB2312"/>
          <w:sz w:val="32"/>
          <w:szCs w:val="32"/>
          <w:lang w:eastAsia="zh-CN"/>
        </w:rPr>
        <w:t>增加3259.66</w:t>
      </w:r>
      <w:r>
        <w:rPr>
          <w:rFonts w:hint="eastAsia" w:ascii="仿宋_GB2312" w:hAnsi="黑体" w:eastAsia="仿宋_GB2312"/>
          <w:sz w:val="32"/>
          <w:szCs w:val="32"/>
        </w:rPr>
        <w:t>万元，主要是</w:t>
      </w:r>
      <w:r>
        <w:rPr>
          <w:rFonts w:hint="eastAsia" w:ascii="仿宋_GB2312" w:hAnsi="黑体" w:eastAsia="仿宋_GB2312"/>
          <w:color w:val="000000" w:themeColor="text1"/>
          <w:sz w:val="32"/>
          <w:szCs w:val="32"/>
          <w:lang w:val="en-US" w:eastAsia="zh-CN"/>
          <w14:textFill>
            <w14:solidFill>
              <w14:schemeClr w14:val="tx1"/>
            </w14:solidFill>
          </w14:textFill>
        </w:rPr>
        <w:t>海棠区后海疍家文化展览馆项目及三亚市海棠区排水管网设施委托运营经费增加。</w:t>
      </w:r>
    </w:p>
    <w:p>
      <w:pPr>
        <w:ind w:firstLine="640" w:firstLineChars="200"/>
        <w:rPr>
          <w:rFonts w:hint="eastAsia"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sz w:val="32"/>
          <w:szCs w:val="32"/>
          <w:lang w:val="en-US" w:eastAsia="zh-CN"/>
        </w:rPr>
        <w:t>8.</w:t>
      </w:r>
      <w:r>
        <w:rPr>
          <w:rFonts w:hint="eastAsia" w:ascii="仿宋_GB2312" w:hAnsi="黑体" w:eastAsia="仿宋_GB2312" w:cs="仿宋_GB2312"/>
          <w:sz w:val="32"/>
          <w:szCs w:val="32"/>
        </w:rPr>
        <w:t>城乡社区支出（类）城乡社区公共设施（款）其他城乡社区公共设施支出（项）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233.46</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增加83.46</w:t>
      </w:r>
      <w:r>
        <w:rPr>
          <w:rFonts w:hint="eastAsia" w:ascii="仿宋_GB2312" w:hAnsi="黑体" w:eastAsia="仿宋_GB2312"/>
          <w:sz w:val="32"/>
          <w:szCs w:val="32"/>
        </w:rPr>
        <w:t>万元，主要是</w:t>
      </w:r>
      <w:r>
        <w:rPr>
          <w:rFonts w:hint="eastAsia" w:ascii="仿宋_GB2312" w:hAnsi="黑体" w:eastAsia="仿宋_GB2312"/>
          <w:color w:val="000000" w:themeColor="text1"/>
          <w:sz w:val="32"/>
          <w:szCs w:val="32"/>
          <w:lang w:val="en-US" w:eastAsia="zh-CN"/>
          <w14:textFill>
            <w14:solidFill>
              <w14:schemeClr w14:val="tx1"/>
            </w14:solidFill>
          </w14:textFill>
        </w:rPr>
        <w:t>海棠区“零小散”工程（含光伏）安全巡检工作及“厕所革命”经费增加。</w:t>
      </w:r>
    </w:p>
    <w:p>
      <w:pPr>
        <w:ind w:firstLine="640" w:firstLineChars="200"/>
        <w:rPr>
          <w:rFonts w:hint="eastAsia"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sz w:val="32"/>
          <w:szCs w:val="32"/>
          <w:lang w:val="en-US" w:eastAsia="zh-CN"/>
        </w:rPr>
        <w:t>9.</w:t>
      </w:r>
      <w:r>
        <w:rPr>
          <w:rFonts w:hint="eastAsia" w:ascii="仿宋_GB2312" w:hAnsi="黑体" w:eastAsia="仿宋_GB2312" w:cs="仿宋_GB2312"/>
          <w:sz w:val="32"/>
          <w:szCs w:val="32"/>
        </w:rPr>
        <w:t>城乡社区支出（类）城乡社区环境卫生（款）城乡社区环境卫生（项）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11537.90</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增加2535.04</w:t>
      </w:r>
      <w:r>
        <w:rPr>
          <w:rFonts w:hint="eastAsia" w:ascii="仿宋_GB2312" w:hAnsi="黑体" w:eastAsia="仿宋_GB2312"/>
          <w:sz w:val="32"/>
          <w:szCs w:val="32"/>
        </w:rPr>
        <w:t>万元，主要是</w:t>
      </w:r>
      <w:r>
        <w:rPr>
          <w:rFonts w:hint="eastAsia" w:ascii="仿宋_GB2312" w:hAnsi="黑体" w:eastAsia="仿宋_GB2312"/>
          <w:color w:val="000000" w:themeColor="text1"/>
          <w:sz w:val="32"/>
          <w:szCs w:val="32"/>
          <w:lang w:val="en-US" w:eastAsia="zh-CN"/>
          <w14:textFill>
            <w14:solidFill>
              <w14:schemeClr w14:val="tx1"/>
            </w14:solidFill>
          </w14:textFill>
        </w:rPr>
        <w:t>环卫服务建设与管理经费增加。</w:t>
      </w:r>
    </w:p>
    <w:p>
      <w:pPr>
        <w:ind w:firstLine="640" w:firstLineChars="200"/>
        <w:rPr>
          <w:rFonts w:hint="eastAsia"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sz w:val="32"/>
          <w:szCs w:val="32"/>
          <w:lang w:val="en-US" w:eastAsia="zh-CN"/>
        </w:rPr>
        <w:t>10.</w:t>
      </w:r>
      <w:r>
        <w:rPr>
          <w:rFonts w:hint="eastAsia" w:ascii="仿宋_GB2312" w:hAnsi="黑体" w:eastAsia="仿宋_GB2312" w:cs="仿宋_GB2312"/>
          <w:sz w:val="32"/>
          <w:szCs w:val="32"/>
        </w:rPr>
        <w:t>城乡社区支出（类）城乡社区环境卫生（款）其他城乡社区支出（项）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85.31</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减少299.69</w:t>
      </w:r>
      <w:r>
        <w:rPr>
          <w:rFonts w:hint="eastAsia" w:ascii="仿宋_GB2312" w:hAnsi="黑体" w:eastAsia="仿宋_GB2312"/>
          <w:sz w:val="32"/>
          <w:szCs w:val="32"/>
        </w:rPr>
        <w:t>万元，主要是</w:t>
      </w:r>
      <w:r>
        <w:rPr>
          <w:rFonts w:hint="eastAsia" w:ascii="仿宋_GB2312" w:hAnsi="黑体" w:eastAsia="仿宋_GB2312"/>
          <w:color w:val="000000" w:themeColor="text1"/>
          <w:sz w:val="32"/>
          <w:szCs w:val="32"/>
          <w:lang w:val="en-US" w:eastAsia="zh-CN"/>
          <w14:textFill>
            <w14:solidFill>
              <w14:schemeClr w14:val="tx1"/>
            </w14:solidFill>
          </w14:textFill>
        </w:rPr>
        <w:t>市政设施维护经费调剂至其他款项，导致该项经费规模缩减。</w:t>
      </w:r>
    </w:p>
    <w:p>
      <w:pPr>
        <w:ind w:firstLine="640" w:firstLineChars="200"/>
        <w:rPr>
          <w:rFonts w:hint="eastAsia"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sz w:val="32"/>
          <w:szCs w:val="32"/>
          <w:lang w:val="en-US" w:eastAsia="zh-CN"/>
        </w:rPr>
        <w:t>11.</w:t>
      </w:r>
      <w:r>
        <w:rPr>
          <w:rFonts w:hint="eastAsia" w:ascii="仿宋_GB2312" w:hAnsi="黑体" w:eastAsia="仿宋_GB2312" w:cs="仿宋_GB2312"/>
          <w:sz w:val="32"/>
          <w:szCs w:val="32"/>
        </w:rPr>
        <w:t>农林水支出（类）农业农村（款）其他农业农村支出（项）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123.24</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123.240</w:t>
      </w:r>
      <w:r>
        <w:rPr>
          <w:rFonts w:hint="eastAsia" w:ascii="仿宋_GB2312" w:hAnsi="黑体" w:eastAsia="仿宋_GB2312"/>
          <w:sz w:val="32"/>
          <w:szCs w:val="32"/>
        </w:rPr>
        <w:t>万元，主要是</w:t>
      </w:r>
      <w:r>
        <w:rPr>
          <w:rFonts w:hint="eastAsia" w:ascii="仿宋_GB2312" w:hAnsi="黑体" w:eastAsia="仿宋_GB2312"/>
          <w:color w:val="000000" w:themeColor="text1"/>
          <w:sz w:val="32"/>
          <w:szCs w:val="32"/>
          <w:lang w:val="en-US" w:eastAsia="zh-CN"/>
          <w14:textFill>
            <w14:solidFill>
              <w14:schemeClr w14:val="tx1"/>
            </w14:solidFill>
          </w14:textFill>
        </w:rPr>
        <w:t>环岛高铁高速沿线环境卫生综合整治项目经费增加。</w:t>
      </w:r>
    </w:p>
    <w:p>
      <w:pPr>
        <w:ind w:firstLine="640" w:firstLineChars="200"/>
        <w:rPr>
          <w:rFonts w:hint="eastAsia"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sz w:val="32"/>
          <w:szCs w:val="32"/>
          <w:lang w:val="en-US" w:eastAsia="zh-CN"/>
        </w:rPr>
        <w:t>12.</w:t>
      </w:r>
      <w:r>
        <w:rPr>
          <w:rFonts w:hint="eastAsia" w:ascii="仿宋_GB2312" w:hAnsi="黑体" w:eastAsia="仿宋_GB2312" w:cs="仿宋_GB2312"/>
          <w:sz w:val="32"/>
          <w:szCs w:val="32"/>
        </w:rPr>
        <w:t>住房保障支出（类）住房改革支出（款）住房公积金（项）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15.66</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1.19</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参考上年执行数准确编制住房公积金单位负担部分年初预算</w:t>
      </w:r>
      <w:r>
        <w:rPr>
          <w:rFonts w:hint="eastAsia" w:ascii="仿宋_GB2312" w:hAnsi="黑体" w:eastAsia="仿宋_GB2312"/>
          <w:color w:val="000000" w:themeColor="text1"/>
          <w:sz w:val="32"/>
          <w:szCs w:val="32"/>
          <w:lang w:val="en-US" w:eastAsia="zh-CN"/>
          <w14:textFill>
            <w14:solidFill>
              <w14:schemeClr w14:val="tx1"/>
            </w14:solidFill>
          </w14:textFill>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13.灾害防治及应急管理支出</w:t>
      </w:r>
      <w:r>
        <w:rPr>
          <w:rFonts w:hint="eastAsia" w:ascii="仿宋_GB2312" w:hAnsi="黑体" w:eastAsia="仿宋_GB2312" w:cs="仿宋_GB2312"/>
          <w:sz w:val="32"/>
          <w:szCs w:val="32"/>
        </w:rPr>
        <w:t>（类）自然灾害救灾及恢复重建支出（款）其他自然灾害救灾及恢复重建支出（项）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99.17</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99.17</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自然灾害救灾资金</w:t>
      </w:r>
      <w:r>
        <w:rPr>
          <w:rFonts w:hint="eastAsia" w:ascii="仿宋_GB2312" w:hAnsi="黑体" w:eastAsia="仿宋_GB2312"/>
          <w:color w:val="000000" w:themeColor="text1"/>
          <w:sz w:val="32"/>
          <w:szCs w:val="32"/>
          <w:lang w:val="en-US" w:eastAsia="zh-CN"/>
          <w14:textFill>
            <w14:solidFill>
              <w14:schemeClr w14:val="tx1"/>
            </w14:solidFill>
          </w14:textFill>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val="en-US" w:eastAsia="zh-CN"/>
        </w:rPr>
        <w:t>三亚市海棠区住房和城乡建设局</w:t>
      </w:r>
      <w:r>
        <w:rPr>
          <w:rFonts w:hint="eastAsia" w:ascii="黑体" w:hAnsi="黑体" w:eastAsia="黑体" w:cs="黑体"/>
          <w:sz w:val="32"/>
          <w:szCs w:val="32"/>
          <w:lang w:val="en-US" w:eastAsia="zh-CN"/>
        </w:rPr>
        <w:t>2026年</w:t>
      </w:r>
      <w:r>
        <w:rPr>
          <w:rFonts w:hint="eastAsia" w:ascii="黑体" w:hAnsi="黑体" w:eastAsia="黑体" w:cs="黑体"/>
          <w:sz w:val="32"/>
          <w:szCs w:val="32"/>
        </w:rPr>
        <w:t>一</w:t>
      </w:r>
      <w:r>
        <w:rPr>
          <w:rFonts w:hint="eastAsia" w:ascii="黑体" w:hAnsi="黑体" w:eastAsia="黑体"/>
          <w:sz w:val="32"/>
          <w:szCs w:val="32"/>
        </w:rPr>
        <w:t>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三亚市海棠区住房和城乡建设局2</w:t>
      </w:r>
      <w:r>
        <w:rPr>
          <w:rFonts w:hint="eastAsia" w:ascii="仿宋_GB2312" w:hAnsi="黑体" w:eastAsia="仿宋_GB2312" w:cs="仿宋_GB2312"/>
          <w:sz w:val="32"/>
          <w:szCs w:val="32"/>
          <w:lang w:val="en-US" w:eastAsia="zh-CN"/>
        </w:rPr>
        <w:t>026年</w:t>
      </w:r>
      <w:r>
        <w:rPr>
          <w:rFonts w:hint="eastAsia" w:ascii="仿宋_GB2312" w:hAnsi="黑体" w:eastAsia="仿宋_GB2312"/>
          <w:sz w:val="32"/>
          <w:szCs w:val="32"/>
        </w:rPr>
        <w:t>一般公共预算基本支出为</w:t>
      </w:r>
      <w:r>
        <w:rPr>
          <w:rFonts w:hint="eastAsia" w:ascii="仿宋_GB2312" w:hAnsi="黑体" w:eastAsia="仿宋_GB2312" w:cs="仿宋_GB2312"/>
          <w:sz w:val="32"/>
          <w:szCs w:val="32"/>
        </w:rPr>
        <w:t>215.84</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202.50</w:t>
      </w:r>
      <w:r>
        <w:rPr>
          <w:rFonts w:hint="eastAsia" w:ascii="仿宋_GB2312" w:hAnsi="黑体" w:eastAsia="仿宋_GB2312"/>
          <w:sz w:val="32"/>
          <w:szCs w:val="32"/>
        </w:rPr>
        <w:t>万元，主要包括：基本工资、津贴补贴、奖金、绩效工资</w:t>
      </w:r>
      <w:r>
        <w:rPr>
          <w:rFonts w:hint="eastAsia" w:ascii="仿宋_GB2312" w:hAnsi="黑体" w:eastAsia="仿宋_GB2312"/>
          <w:sz w:val="32"/>
          <w:szCs w:val="32"/>
          <w:lang w:eastAsia="zh-CN"/>
        </w:rPr>
        <w:t>、机关事业单位基本养老保险缴费、职业年金缴费、职工基本医疗保险缴费、公务员医疗补助缴费、其他社会保障缴费、住房公积金、医疗费、其他工资福利支出、其他交通费用、奖励金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13.34</w:t>
      </w:r>
      <w:r>
        <w:rPr>
          <w:rFonts w:hint="eastAsia" w:ascii="仿宋_GB2312" w:hAnsi="黑体" w:eastAsia="仿宋_GB2312"/>
          <w:sz w:val="32"/>
          <w:szCs w:val="32"/>
        </w:rPr>
        <w:t>万元，主要包括：其他工资福利支出</w:t>
      </w:r>
      <w:r>
        <w:rPr>
          <w:rFonts w:hint="eastAsia" w:ascii="仿宋_GB2312" w:hAnsi="黑体" w:eastAsia="仿宋_GB2312"/>
          <w:sz w:val="32"/>
          <w:szCs w:val="32"/>
          <w:lang w:eastAsia="zh-CN"/>
        </w:rPr>
        <w:t>、</w:t>
      </w:r>
      <w:r>
        <w:rPr>
          <w:rFonts w:hint="eastAsia" w:ascii="仿宋_GB2312" w:hAnsi="黑体" w:eastAsia="仿宋_GB2312"/>
          <w:sz w:val="32"/>
          <w:szCs w:val="32"/>
        </w:rPr>
        <w:t>办公费、租赁费</w:t>
      </w:r>
      <w:r>
        <w:rPr>
          <w:rFonts w:hint="eastAsia" w:ascii="仿宋_GB2312" w:hAnsi="黑体" w:eastAsia="仿宋_GB2312"/>
          <w:sz w:val="32"/>
          <w:szCs w:val="32"/>
          <w:lang w:eastAsia="zh-CN"/>
        </w:rPr>
        <w:t>、培训费、公务用车运行维护费、</w:t>
      </w:r>
      <w:r>
        <w:rPr>
          <w:rFonts w:hint="eastAsia" w:ascii="仿宋_GB2312" w:hAnsi="黑体" w:eastAsia="仿宋_GB2312"/>
          <w:sz w:val="32"/>
          <w:szCs w:val="32"/>
        </w:rPr>
        <w:t>咨询费、手续费、水费、电费、生活补助</w:t>
      </w:r>
      <w:r>
        <w:rPr>
          <w:rFonts w:hint="eastAsia" w:ascii="仿宋_GB2312" w:hAnsi="黑体" w:eastAsia="仿宋_GB2312"/>
          <w:sz w:val="32"/>
          <w:szCs w:val="32"/>
          <w:lang w:eastAsia="zh-CN"/>
        </w:rPr>
        <w:t>、</w:t>
      </w:r>
      <w:r>
        <w:rPr>
          <w:rFonts w:hint="eastAsia" w:ascii="仿宋_GB2312" w:hAnsi="黑体" w:eastAsia="仿宋_GB2312"/>
          <w:sz w:val="32"/>
          <w:szCs w:val="32"/>
        </w:rPr>
        <w:t>办公设备购置。</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lang w:val="en-US" w:eastAsia="zh-CN"/>
        </w:rPr>
        <w:t>三亚市海棠区住房和城乡建设局</w:t>
      </w:r>
      <w:r>
        <w:rPr>
          <w:rFonts w:hint="eastAsia" w:ascii="黑体" w:hAnsi="黑体" w:eastAsia="黑体" w:cs="黑体"/>
          <w:sz w:val="32"/>
          <w:szCs w:val="32"/>
          <w:lang w:val="en-US" w:eastAsia="zh-CN"/>
        </w:rPr>
        <w:t>2026年</w:t>
      </w:r>
      <w:r>
        <w:rPr>
          <w:rFonts w:hint="eastAsia" w:ascii="黑体" w:hAnsi="黑体" w:eastAsia="黑体" w:cs="黑体"/>
          <w:sz w:val="32"/>
          <w:shd w:val="clear" w:color="auto" w:fill="FFFFFF"/>
        </w:rPr>
        <w:t>“三公</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val="en-US" w:eastAsia="zh-CN"/>
        </w:rPr>
        <w:t>三亚市海棠区住房和城乡建设局</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一般公共预算“三公”经费预算数为</w:t>
      </w:r>
      <w:r>
        <w:rPr>
          <w:rFonts w:hint="eastAsia" w:ascii="仿宋_GB2312" w:hAnsi="黑体" w:eastAsia="仿宋_GB2312" w:cs="仿宋_GB2312"/>
          <w:sz w:val="32"/>
          <w:szCs w:val="32"/>
        </w:rPr>
        <w:t>1.50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年预算持平。根据外事</w:t>
      </w:r>
      <w:r>
        <w:rPr>
          <w:rFonts w:hint="eastAsia" w:ascii="Times New Roman" w:hAnsi="Times New Roman" w:eastAsia="仿宋_GB2312" w:cs="Times New Roman"/>
          <w:sz w:val="32"/>
          <w:shd w:val="clear" w:color="auto" w:fill="FFFFFF"/>
          <w:lang w:eastAsia="zh-CN"/>
        </w:rPr>
        <w:t>办</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val="en-US" w:eastAsia="zh-CN"/>
        </w:rPr>
        <w:t>0</w:t>
      </w:r>
      <w:r>
        <w:rPr>
          <w:rFonts w:ascii="Times New Roman" w:hAnsi="Times New Roman" w:eastAsia="仿宋_GB2312" w:cs="Times New Roman"/>
          <w:sz w:val="32"/>
          <w:shd w:val="clear" w:color="auto" w:fill="FFFFFF"/>
        </w:rPr>
        <w:t>次，出国（境）</w:t>
      </w:r>
      <w:r>
        <w:rPr>
          <w:rFonts w:hint="eastAsia" w:ascii="Times New Roman" w:hAnsi="Times New Roman" w:eastAsia="仿宋_GB2312" w:cs="Times New Roman"/>
          <w:sz w:val="32"/>
          <w:shd w:val="clear" w:color="auto" w:fill="FFFFFF"/>
          <w:lang w:val="en-US" w:eastAsia="zh-CN"/>
        </w:rPr>
        <w:t>0</w:t>
      </w:r>
      <w:r>
        <w:rPr>
          <w:rFonts w:ascii="Times New Roman" w:hAnsi="Times New Roman" w:eastAsia="仿宋_GB2312" w:cs="Times New Roman"/>
          <w:sz w:val="32"/>
          <w:shd w:val="clear" w:color="auto" w:fill="FFFFFF"/>
        </w:rPr>
        <w:t>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出国（境）团组</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1.50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Times New Roman" w:hAnsi="Times New Roman" w:eastAsia="仿宋_GB2312" w:cs="Times New Roman"/>
          <w:sz w:val="32"/>
          <w:shd w:val="clear" w:color="auto" w:fill="FFFFFF"/>
          <w:lang w:val="en-US" w:eastAsia="zh-CN"/>
        </w:rPr>
        <w:t>1.50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rPr>
        <w:t>24.67</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公务用车运行费</w:t>
      </w:r>
      <w:r>
        <w:rPr>
          <w:rFonts w:hint="eastAsia" w:ascii="Times New Roman" w:hAnsi="Times New Roman" w:eastAsia="仿宋_GB2312" w:cs="Times New Roman"/>
          <w:sz w:val="32"/>
          <w:shd w:val="clear" w:color="auto" w:fill="FFFFFF"/>
          <w:lang w:eastAsia="zh-CN"/>
        </w:rPr>
        <w:t>减少</w:t>
      </w:r>
      <w:r>
        <w:rPr>
          <w:rFonts w:hint="eastAsia" w:ascii="Times New Roman" w:hAnsi="Times New Roman" w:eastAsia="仿宋_GB2312" w:cs="Times New Roman"/>
          <w:sz w:val="32"/>
          <w:shd w:val="clear" w:color="auto" w:fill="FFFFFF"/>
        </w:rPr>
        <w:t>。公务车保有量</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Times New Roman"/>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（二）三亚市海棠区住房和城乡建设局</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政府性基金预算“三公”经费预算数为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年预算持平。根据</w:t>
      </w:r>
      <w:r>
        <w:rPr>
          <w:rFonts w:hint="eastAsia" w:ascii="Times New Roman" w:hAnsi="Times New Roman" w:eastAsia="仿宋_GB2312" w:cs="Times New Roman"/>
          <w:sz w:val="32"/>
          <w:shd w:val="clear" w:color="auto" w:fill="FFFFFF"/>
        </w:rPr>
        <w:t>中共三亚市海棠区委政法委员会</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rPr>
        <w:t>2025</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人。出国（境）团组主要包括：1.团组：目的地</w:t>
      </w:r>
      <w:r>
        <w:rPr>
          <w:rFonts w:hint="eastAsia" w:ascii="Times New Roman" w:hAnsi="Times New Roman" w:eastAsia="仿宋_GB2312" w:cs="Times New Roman"/>
          <w:sz w:val="32"/>
          <w:shd w:val="clear" w:color="auto" w:fill="FFFFFF"/>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天，主要任务</w:t>
      </w:r>
      <w:r>
        <w:rPr>
          <w:rFonts w:hint="eastAsia" w:ascii="Times New Roman" w:hAnsi="Times New Roman" w:eastAsia="仿宋_GB2312" w:cs="Times New Roman"/>
          <w:sz w:val="32"/>
          <w:shd w:val="clear" w:color="auto" w:fill="FFFFFF"/>
        </w:rPr>
        <w:t>无</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rPr>
        <w:t>0辆，计划购置0辆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rPr>
        <w:t>0批0人</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五、关于三亚市海棠区住房和城乡建设局</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三亚市海棠区住房和城乡建设局</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政府性基金预算当年拨款307.45万元，比上年预算数</w:t>
      </w:r>
      <w:r>
        <w:rPr>
          <w:rFonts w:hint="eastAsia" w:ascii="仿宋_GB2312" w:hAnsi="黑体" w:eastAsia="仿宋_GB2312" w:cs="仿宋_GB2312"/>
          <w:sz w:val="32"/>
          <w:szCs w:val="32"/>
        </w:rPr>
        <w:t>减少604.92</w:t>
      </w:r>
      <w:r>
        <w:rPr>
          <w:rFonts w:hint="eastAsia" w:ascii="仿宋_GB2312" w:hAnsi="黑体" w:eastAsia="仿宋_GB2312"/>
          <w:sz w:val="32"/>
          <w:szCs w:val="32"/>
        </w:rPr>
        <w:t>万元，主要是其他国有土地使用权出让收入安排的支出</w:t>
      </w:r>
      <w:r>
        <w:rPr>
          <w:rFonts w:hint="eastAsia" w:ascii="仿宋_GB2312" w:hAnsi="黑体" w:eastAsia="仿宋_GB2312"/>
          <w:sz w:val="32"/>
          <w:szCs w:val="32"/>
          <w:lang w:eastAsia="zh-CN"/>
        </w:rPr>
        <w:t>款项减少</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sz w:val="32"/>
          <w:szCs w:val="32"/>
          <w:lang w:eastAsia="zh-CN"/>
        </w:rPr>
        <w:t>城乡社区支出307.45万元，占</w:t>
      </w:r>
      <w:r>
        <w:rPr>
          <w:rFonts w:hint="eastAsia" w:ascii="仿宋_GB2312" w:hAnsi="黑体" w:eastAsia="仿宋_GB2312"/>
          <w:sz w:val="32"/>
          <w:szCs w:val="32"/>
          <w:lang w:val="en-US" w:eastAsia="zh-CN"/>
        </w:rPr>
        <w:t>100%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城乡社区支出（类）国有土地使用权出让收入安排的支出（款）城市建设支出（项）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rPr>
        <w:t>1.96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1.96</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上年结转</w:t>
      </w:r>
      <w:r>
        <w:rPr>
          <w:rFonts w:hint="eastAsia" w:ascii="仿宋_GB2312" w:hAnsi="黑体" w:eastAsia="仿宋_GB2312"/>
          <w:sz w:val="32"/>
          <w:szCs w:val="32"/>
        </w:rPr>
        <w:t>海棠区藤桥社区街区市政及景观整治工程（藤桥社区藤桥西河桥至南田医院两侧）项目</w:t>
      </w:r>
      <w:r>
        <w:rPr>
          <w:rFonts w:hint="eastAsia" w:ascii="仿宋_GB2312" w:hAnsi="黑体" w:eastAsia="仿宋_GB2312"/>
          <w:sz w:val="32"/>
          <w:szCs w:val="32"/>
          <w:lang w:eastAsia="zh-CN"/>
        </w:rPr>
        <w:t>剩余款项</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城乡社区支出（类）国有土地使用权出让收入安排的支出（款）其他国有土地使用权出让收入安排的支出（项）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rPr>
        <w:t>305.49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减少544.9</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上年结转琼港经济合作三亚示范区投资促进中心室外环境整体提升工程等项目经费</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rPr>
        <w:t>三亚市海棠区住房和城乡建设局</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按照综合预算原则，三亚市海棠区住房和城乡建设局所有收入和支出均纳入部门预算管理。收入包括：一般公共预算收入、政府性基金收入</w:t>
      </w:r>
      <w:r>
        <w:rPr>
          <w:rFonts w:hint="eastAsia" w:ascii="仿宋_GB2312" w:hAnsi="黑体" w:eastAsia="仿宋_GB2312"/>
          <w:sz w:val="32"/>
          <w:szCs w:val="32"/>
        </w:rPr>
        <w:t>；支出包括： 社会保障和就业支出、卫生健康支出、城乡社区支出、农林水支出、住房保障支出、灾害防治及应急管理支出。</w:t>
      </w:r>
      <w:r>
        <w:rPr>
          <w:rFonts w:hint="eastAsia" w:ascii="仿宋_GB2312" w:hAnsi="黑体" w:eastAsia="仿宋_GB2312" w:cs="仿宋_GB2312"/>
          <w:sz w:val="32"/>
          <w:szCs w:val="32"/>
        </w:rPr>
        <w:t>三亚市海棠区住房和城乡建设局</w:t>
      </w: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rPr>
        <w:t>收支总预算21,923.47万元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rPr>
        <w:t>三亚市海棠区住房和城乡建设局</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三亚市海棠区住房和城乡建设局</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收入预算</w:t>
      </w:r>
      <w:r>
        <w:rPr>
          <w:rFonts w:hint="eastAsia" w:ascii="仿宋_GB2312" w:hAnsi="黑体" w:eastAsia="仿宋_GB2312" w:cs="仿宋_GB2312"/>
          <w:sz w:val="32"/>
          <w:szCs w:val="32"/>
        </w:rPr>
        <w:t>21,923.47</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806.32</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3.68</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拨款收入21,117.15万元，占</w:t>
      </w:r>
      <w:r>
        <w:rPr>
          <w:rFonts w:hint="eastAsia" w:ascii="仿宋_GB2312" w:hAnsi="黑体" w:eastAsia="仿宋_GB2312" w:cs="仿宋_GB2312"/>
          <w:sz w:val="32"/>
          <w:szCs w:val="32"/>
        </w:rPr>
        <w:t>96.32</w:t>
      </w:r>
      <w:r>
        <w:rPr>
          <w:rFonts w:hint="eastAsia" w:ascii="仿宋_GB2312" w:hAnsi="黑体" w:eastAsia="仿宋_GB2312"/>
          <w:sz w:val="32"/>
          <w:szCs w:val="32"/>
        </w:rPr>
        <w:t>%；政府性基金</w:t>
      </w:r>
      <w:r>
        <w:rPr>
          <w:rFonts w:hint="eastAsia" w:ascii="仿宋_GB2312" w:hAnsi="黑体" w:eastAsia="仿宋_GB2312"/>
          <w:sz w:val="32"/>
          <w:szCs w:val="32"/>
          <w:lang w:eastAsia="zh-CN"/>
        </w:rPr>
        <w:t>预算拨款</w:t>
      </w:r>
      <w:r>
        <w:rPr>
          <w:rFonts w:hint="eastAsia" w:ascii="仿宋_GB2312" w:hAnsi="黑体" w:eastAsia="仿宋_GB2312"/>
          <w:sz w:val="32"/>
          <w:szCs w:val="32"/>
        </w:rPr>
        <w:t>收入</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增加5585.93</w:t>
      </w:r>
      <w:r>
        <w:rPr>
          <w:rFonts w:hint="eastAsia" w:ascii="仿宋_GB2312" w:hAnsi="黑体" w:eastAsia="仿宋_GB2312"/>
          <w:sz w:val="32"/>
          <w:szCs w:val="32"/>
        </w:rPr>
        <w:t>万元，主要是环卫服务建设与管理</w:t>
      </w:r>
      <w:r>
        <w:rPr>
          <w:rFonts w:hint="eastAsia" w:ascii="仿宋_GB2312" w:hAnsi="黑体" w:eastAsia="仿宋_GB2312"/>
          <w:sz w:val="32"/>
          <w:szCs w:val="32"/>
          <w:lang w:eastAsia="zh-CN"/>
        </w:rPr>
        <w:t>等经费增加</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八、关于三亚市海棠区住房和城乡建设局</w:t>
      </w:r>
      <w:r>
        <w:rPr>
          <w:rFonts w:hint="eastAsia" w:ascii="黑体" w:hAnsi="黑体" w:eastAsia="黑体" w:cs="Times New Roman"/>
          <w:sz w:val="32"/>
          <w:shd w:val="clear" w:color="auto" w:fill="FFFFFF"/>
          <w:lang w:val="en-US" w:eastAsia="zh-CN"/>
        </w:rPr>
        <w:t>2</w:t>
      </w:r>
      <w:r>
        <w:rPr>
          <w:rFonts w:hint="eastAsia" w:ascii="黑体" w:hAnsi="黑体" w:eastAsia="黑体" w:cs="黑体"/>
          <w:sz w:val="32"/>
          <w:szCs w:val="32"/>
          <w:lang w:val="en-US" w:eastAsia="zh-CN"/>
        </w:rPr>
        <w:t>026年</w:t>
      </w:r>
      <w:r>
        <w:rPr>
          <w:rFonts w:hint="eastAsia" w:ascii="黑体" w:hAnsi="黑体" w:eastAsia="黑体" w:cs="Times New Roman"/>
          <w:sz w:val="32"/>
          <w:shd w:val="clear" w:color="auto" w:fill="FFFFFF"/>
        </w:rPr>
        <w:t>支出预算情况说明</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三亚市海棠区住房和城乡建设局</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支出预算</w:t>
      </w:r>
      <w:r>
        <w:rPr>
          <w:rFonts w:hint="eastAsia" w:ascii="仿宋_GB2312" w:hAnsi="黑体" w:eastAsia="仿宋_GB2312" w:cs="仿宋_GB2312"/>
          <w:sz w:val="32"/>
          <w:szCs w:val="32"/>
        </w:rPr>
        <w:t>21,923.47</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215.84</w:t>
      </w:r>
      <w:r>
        <w:rPr>
          <w:rFonts w:hint="eastAsia" w:ascii="仿宋_GB2312" w:hAnsi="黑体" w:eastAsia="仿宋_GB2312"/>
          <w:sz w:val="32"/>
          <w:szCs w:val="32"/>
        </w:rPr>
        <w:t>万元，占</w:t>
      </w:r>
      <w:r>
        <w:rPr>
          <w:rFonts w:hint="eastAsia" w:ascii="仿宋_GB2312" w:hAnsi="黑体" w:eastAsia="仿宋_GB2312" w:cs="仿宋_GB2312"/>
          <w:sz w:val="32"/>
          <w:szCs w:val="32"/>
        </w:rPr>
        <w:t>0.98</w:t>
      </w:r>
      <w:r>
        <w:rPr>
          <w:rFonts w:hint="eastAsia" w:ascii="仿宋_GB2312" w:hAnsi="黑体" w:eastAsia="仿宋_GB2312"/>
          <w:sz w:val="32"/>
          <w:szCs w:val="32"/>
        </w:rPr>
        <w:t>%；项目支出</w:t>
      </w:r>
      <w:r>
        <w:rPr>
          <w:rFonts w:hint="eastAsia" w:ascii="仿宋_GB2312" w:hAnsi="黑体" w:eastAsia="仿宋_GB2312" w:cs="仿宋_GB2312"/>
          <w:sz w:val="32"/>
          <w:szCs w:val="32"/>
        </w:rPr>
        <w:t>21,707.63</w:t>
      </w:r>
      <w:r>
        <w:rPr>
          <w:rFonts w:hint="eastAsia" w:ascii="仿宋_GB2312" w:hAnsi="黑体" w:eastAsia="仿宋_GB2312"/>
          <w:sz w:val="32"/>
          <w:szCs w:val="32"/>
        </w:rPr>
        <w:t>万元，占</w:t>
      </w:r>
      <w:r>
        <w:rPr>
          <w:rFonts w:hint="eastAsia" w:ascii="仿宋_GB2312" w:hAnsi="黑体" w:eastAsia="仿宋_GB2312" w:cs="仿宋_GB2312"/>
          <w:sz w:val="32"/>
          <w:szCs w:val="32"/>
        </w:rPr>
        <w:t>99.02</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增加5585.93</w:t>
      </w:r>
      <w:r>
        <w:rPr>
          <w:rFonts w:hint="eastAsia" w:ascii="仿宋_GB2312" w:hAnsi="黑体" w:eastAsia="仿宋_GB2312"/>
          <w:sz w:val="32"/>
          <w:szCs w:val="32"/>
        </w:rPr>
        <w:t>万元，主要是环卫服务建设与管理等经费增加。其中委托业务费预算总额</w:t>
      </w:r>
      <w:r>
        <w:rPr>
          <w:rFonts w:hint="eastAsia" w:ascii="仿宋_GB2312" w:hAnsi="黑体" w:eastAsia="仿宋_GB2312"/>
          <w:sz w:val="32"/>
          <w:szCs w:val="32"/>
          <w:lang w:val="en-US" w:eastAsia="zh-CN"/>
        </w:rPr>
        <w:t>12835.98</w:t>
      </w:r>
      <w:r>
        <w:rPr>
          <w:rFonts w:hint="eastAsia" w:ascii="仿宋_GB2312" w:hAnsi="黑体" w:eastAsia="仿宋_GB2312"/>
          <w:sz w:val="32"/>
          <w:szCs w:val="32"/>
        </w:rPr>
        <w:t>万元，</w:t>
      </w:r>
      <w:r>
        <w:rPr>
          <w:rFonts w:hint="eastAsia" w:ascii="仿宋_GB2312" w:hAnsi="黑体" w:eastAsia="仿宋_GB2312"/>
          <w:sz w:val="32"/>
          <w:szCs w:val="32"/>
          <w:lang w:eastAsia="zh-CN"/>
        </w:rPr>
        <w:t>比</w:t>
      </w:r>
      <w:r>
        <w:rPr>
          <w:rFonts w:hint="eastAsia" w:ascii="仿宋_GB2312" w:hAnsi="黑体" w:eastAsia="仿宋_GB2312"/>
          <w:sz w:val="32"/>
          <w:szCs w:val="32"/>
        </w:rPr>
        <w:t>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1835.87万元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rPr>
        <w:t>三亚市海棠区住房和城乡建设局的机关运行经费预算13.34</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rPr>
        <w:t>三亚市海棠区住房和城乡建设局政府采购预算总额12,707</w:t>
      </w:r>
      <w:r>
        <w:rPr>
          <w:rFonts w:hint="eastAsia" w:ascii="仿宋_GB2312" w:hAnsi="黑体" w:eastAsia="仿宋_GB2312"/>
          <w:sz w:val="32"/>
          <w:szCs w:val="32"/>
        </w:rPr>
        <w:t>万元，其中：政府采购货物预算</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万元，政府采购服务预算12,707万元。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rPr>
        <w:t>三亚市海棠区住房和城乡建设局共有车辆</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rPr>
        <w:t>三亚市海棠区住房和城乡建设局</w:t>
      </w:r>
      <w:r>
        <w:rPr>
          <w:rFonts w:hint="eastAsia" w:ascii="仿宋_GB2312" w:hAnsi="黑体" w:eastAsia="仿宋_GB2312" w:cs="仿宋_GB2312"/>
          <w:sz w:val="32"/>
          <w:szCs w:val="32"/>
          <w:lang w:val="en-US" w:eastAsia="zh-CN"/>
        </w:rPr>
        <w:t>30</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21117.15</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6AEA16C"/>
    <w:multiLevelType w:val="singleLevel"/>
    <w:tmpl w:val="26AEA16C"/>
    <w:lvl w:ilvl="0" w:tentative="0">
      <w:start w:val="1"/>
      <w:numFmt w:val="chineseCounting"/>
      <w:suff w:val="nothing"/>
      <w:lvlText w:val="%1、"/>
      <w:lvlJc w:val="left"/>
      <w:rPr>
        <w:rFonts w:hint="eastAsia"/>
      </w:r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17678BF"/>
    <w:rsid w:val="041B6373"/>
    <w:rsid w:val="05E63D35"/>
    <w:rsid w:val="0CAC0814"/>
    <w:rsid w:val="0DB929FC"/>
    <w:rsid w:val="0DFA27E6"/>
    <w:rsid w:val="0F2249B5"/>
    <w:rsid w:val="0F9D197D"/>
    <w:rsid w:val="106D1E46"/>
    <w:rsid w:val="10AF24CA"/>
    <w:rsid w:val="114420B6"/>
    <w:rsid w:val="14A838BA"/>
    <w:rsid w:val="158B442A"/>
    <w:rsid w:val="16F04D4B"/>
    <w:rsid w:val="19AA5E3C"/>
    <w:rsid w:val="1AC351BB"/>
    <w:rsid w:val="1BAE6F47"/>
    <w:rsid w:val="2713653B"/>
    <w:rsid w:val="272208FB"/>
    <w:rsid w:val="27A45160"/>
    <w:rsid w:val="2D7911FE"/>
    <w:rsid w:val="2DE7486F"/>
    <w:rsid w:val="30417CA5"/>
    <w:rsid w:val="31177B22"/>
    <w:rsid w:val="312F4ABA"/>
    <w:rsid w:val="322257C0"/>
    <w:rsid w:val="343A13E0"/>
    <w:rsid w:val="34B17474"/>
    <w:rsid w:val="372B0ECA"/>
    <w:rsid w:val="37F61B08"/>
    <w:rsid w:val="3ABC1DEA"/>
    <w:rsid w:val="3B0577E2"/>
    <w:rsid w:val="3D072493"/>
    <w:rsid w:val="3D3F2325"/>
    <w:rsid w:val="3D9907AF"/>
    <w:rsid w:val="3DD76551"/>
    <w:rsid w:val="3E8D33F6"/>
    <w:rsid w:val="3EE77305"/>
    <w:rsid w:val="4036230F"/>
    <w:rsid w:val="440F790B"/>
    <w:rsid w:val="448D4D51"/>
    <w:rsid w:val="486D10DA"/>
    <w:rsid w:val="49747800"/>
    <w:rsid w:val="4ACF3510"/>
    <w:rsid w:val="4C256F2E"/>
    <w:rsid w:val="4E331030"/>
    <w:rsid w:val="4E4101D9"/>
    <w:rsid w:val="4F6A3312"/>
    <w:rsid w:val="506A7C2F"/>
    <w:rsid w:val="510B5D2F"/>
    <w:rsid w:val="511D525D"/>
    <w:rsid w:val="531808E7"/>
    <w:rsid w:val="57985893"/>
    <w:rsid w:val="58F86935"/>
    <w:rsid w:val="5A95267E"/>
    <w:rsid w:val="5ACD6212"/>
    <w:rsid w:val="5C264F26"/>
    <w:rsid w:val="5F181592"/>
    <w:rsid w:val="5F6E5161"/>
    <w:rsid w:val="61FC4B9F"/>
    <w:rsid w:val="62642F3F"/>
    <w:rsid w:val="62696D09"/>
    <w:rsid w:val="62A52D5A"/>
    <w:rsid w:val="644545DB"/>
    <w:rsid w:val="651C1525"/>
    <w:rsid w:val="68232C0D"/>
    <w:rsid w:val="68AF6730"/>
    <w:rsid w:val="692D7DFB"/>
    <w:rsid w:val="697A1EC3"/>
    <w:rsid w:val="69A802C3"/>
    <w:rsid w:val="6A3F050F"/>
    <w:rsid w:val="6AFB3D4A"/>
    <w:rsid w:val="6D1E2EBD"/>
    <w:rsid w:val="71A46704"/>
    <w:rsid w:val="737B0EE2"/>
    <w:rsid w:val="77312996"/>
    <w:rsid w:val="788F69FE"/>
    <w:rsid w:val="7AAA3B51"/>
    <w:rsid w:val="7C576B30"/>
    <w:rsid w:val="7E4C0085"/>
    <w:rsid w:val="7FC42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3580</Words>
  <Characters>3729</Characters>
  <Lines>0</Lines>
  <Paragraphs>0</Paragraphs>
  <TotalTime>3</TotalTime>
  <ScaleCrop>false</ScaleCrop>
  <LinksUpToDate>false</LinksUpToDate>
  <CharactersWithSpaces>3758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dcterms:modified xsi:type="dcterms:W3CDTF">2026-02-27T03:07:37Z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E44246760B3449D6B6D3A65065F59043_13</vt:lpwstr>
  </property>
</Properties>
</file>